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Ausländische Prüfungen heimatloser Ausländer werden im Bundesgebiet anerkannt, wenn sie den entsprechenden inländischen Prüfungen gleichzuachten sind.</w:t>
      </w:r>
    </w:p>
    <w:p>
      <w:r>
        <w:t xml:space="preserve">(2) Die Entscheidung darüber, welche ausländischen Prüfungen den inländischen Prüfungen gleichzuachten sind, wird von den Obersten Landesbehörden getroffen.</w:t>
      </w:r>
    </w:p>
    <w:p>
      <w:r>
        <w:rPr>
          <w:color w:val="555555"/>
          <w:sz w:val="17"/>
        </w:rPr>
        <w:t xml:space="preserve">Zitiervorschlag: § 15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