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HAuslG</w:t>
      </w:r>
    </w:p>
    <w:p>
      <w:r>
        <w:rPr>
          <w:color w:val="555555"/>
          <w:sz w:val="18"/>
        </w:rPr>
        <w:t xml:space="preserve">Gesetz über die Rechtsstellung heimatloser Ausländer im Bundesgebiet</w:t>
      </w:r>
    </w:p>
    <w:p>
      <w:r>
        <w:rPr>
          <w:color w:val="555555"/>
          <w:sz w:val="18"/>
        </w:rPr>
        <w:t xml:space="preserve">Stand: 10.06.2019 (konsolidierte Textfassung, kein amtliches Inkrafttretensdatum)</w:t>
      </w:r>
    </w:p>
    <w:p>
      <w:r>
        <w:t xml:space="preserve">(1) Heimatlose Ausländer haben zu allen öffentlichen Volksschulen, mittleren und höheren Lehranstalten sowie wissenschaftlichen Hochschulen und Kunsthochschulen unter den gleichen Bedingungen Zugang wie deutsche Staatsangehörige. Sie werden nach Maßgabe des Landesrechts an Gebührenerlaß und an den Mitteln zur Förderung Begabter beteiligt.</w:t>
      </w:r>
    </w:p>
    <w:p>
      <w:r>
        <w:t xml:space="preserve">(2) Heimatlose Ausländer können Staatsprüfungen unter den gleichen Bedingungen ablegen wie deutsche Staatsangehörige.</w:t>
      </w:r>
    </w:p>
    <w:p>
      <w:r>
        <w:t xml:space="preserve">(3) Das Recht zur Errichtung von privaten Schulen für heimatlose Ausländer wird nach Maßgabe des Artikels 7 Abs. 4 und 5 des Grundgesetzes gewährleistet.</w:t>
      </w:r>
    </w:p>
    <w:p>
      <w:r>
        <w:rPr>
          <w:color w:val="555555"/>
          <w:sz w:val="17"/>
        </w:rPr>
        <w:t xml:space="preserve">Zitiervorschlag: § 14 HAuslG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https://recht.nulegal.eu/gesetze/HAuslG/14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