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HAuslG</w:t>
      </w:r>
    </w:p>
    <w:p>
      <w:r>
        <w:rPr>
          <w:color w:val="555555"/>
          <w:sz w:val="18"/>
        </w:rPr>
        <w:t xml:space="preserve">Gesetz über die Rechtsstellung heimatloser Ausländer im Bundesgebiet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Heimatlose Ausländer sind hinsichtlich des Rechts, sich in Vereinigungen für kulturelle, soziale, Wohlfahrts-, Selbsthilfe- und ähnliche Zwecke zusammenzuschließen, deutschen Staatsangehörigen gleichgestellt. Diese Gleichstellung gilt nicht für die Bildung von Vereinigungen mit politischen Zwecken.</w:t>
      </w:r>
    </w:p>
    <w:p>
      <w:r>
        <w:t xml:space="preserve">(2) Heimatlose Ausländer haben das Recht, sich in Gewerkschaften zusammenzuschließen oder ihre Aufnahme in deutsche Gewerkschaften zu beantragen.</w:t>
      </w:r>
    </w:p>
    <w:p>
      <w:r>
        <w:rPr>
          <w:color w:val="555555"/>
          <w:sz w:val="17"/>
        </w:rPr>
        <w:t xml:space="preserve">Zitiervorschlag: § 13 HAuslG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https://recht.nulegal.eu/gesetze/HAuslG/13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