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HAuslG</w:t>
      </w:r>
    </w:p>
    <w:p>
      <w:r>
        <w:rPr>
          <w:color w:val="555555"/>
          <w:sz w:val="18"/>
        </w:rPr>
        <w:t xml:space="preserve">Gesetz über die Rechtsstellung heimatloser Ausländer im Bundesgebiet</w:t>
      </w:r>
    </w:p>
    <w:p>
      <w:r>
        <w:rPr>
          <w:color w:val="555555"/>
          <w:sz w:val="18"/>
        </w:rPr>
        <w:t xml:space="preserve">Stand: 10.06.2019 (konsolidierte Textfassung, kein amtliches Inkrafttretensdatum)</w:t>
      </w:r>
    </w:p>
    <w:p>
      <w:r>
        <w:t xml:space="preserve">Heimatlose Ausländer sind in der Wahl ihres Aufenthaltsortes und in der Freizügigkeit innerhalb des Bundesgebietes den deutschen Staatsangehörigen gleichgestellt. Sie bedürfen keines Aufenthaltstitels. Ausländischen Familienangehörigen heimatloser Ausländer wird nach den für ausländische Familienangehörige Deutscher geltenden Vorschriften eine Aufenthaltserlaubnis erteilt.</w:t>
      </w:r>
    </w:p>
    <w:p>
      <w:r>
        <w:rPr>
          <w:color w:val="555555"/>
          <w:sz w:val="17"/>
        </w:rPr>
        <w:t xml:space="preserve">Zitiervorschlag: § 12 HAuslG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https://recht.nulegal.eu/gesetze/HAuslG/12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