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HArchDVDV 2017 — Auswahlverfahren</w:t>
      </w:r>
    </w:p>
    <w:p>
      <w:r>
        <w:rPr>
          <w:color w:val="555555"/>
          <w:sz w:val="18"/>
        </w:rPr>
        <w:t xml:space="preserve">Verordnung über den Vorbereitungsdienst für den höheren Archivdienst des Bundes</w:t>
      </w:r>
    </w:p>
    <w:p>
      <w:r>
        <w:rPr>
          <w:color w:val="555555"/>
          <w:sz w:val="18"/>
        </w:rPr>
        <w:t xml:space="preserve">Stand: 17.03.2026 (konsolidierte Textfassung, kein amtliches Inkrafttretensdatum)</w:t>
      </w:r>
    </w:p>
    <w:p>
      <w:r>
        <w:t xml:space="preserve">(1) Über die Einstellung in den Vorbereitungsdienst entscheidet die Einstellungsbehörde auf der Grundlage eines Auswahlverfahrens, in dem die Eignung und Befähigung der Bewerberinnen und Bewerber für den Vorbereitungsdienst festgestellt wird. Insbesondere wird festgestellt, ob sie über das Allgemein- und Fachwissen, die Sprachkenntnisse, die kognitiven, methodischen und sozialen Fähigkeiten, die charakterlichen Merkmale und die Leistungsmotivation verfügen, das oder die für die Erfüllung der Aufgaben im höheren Archivdienst erforderlich ist oder sind.</w:t>
      </w:r>
    </w:p>
    <w:p>
      <w:r>
        <w:t xml:space="preserve">(2) Wird die Zahl der am Auswahlverfahren Teilnehmenden nach § 11 Absatz 4 der Bundeslaufbahnverordnung beschränkt, so wird zugelassen, wer nach den eingereichten Unterlagen am besten geeignet erscheint. Bei der Zulassungsentscheidung sind insbesondere die Zeugnisnoten in den Fächern zu berücksichtigen, die für den Vorbereitungsdienst relevant sind. Zusätzlich werden nach Maßgabe des § 165 Satz 3 und 4 des Neunten Buches Sozialgesetzbuch schwerbehinderte Menschen und gleichgestellte behinderte Menschen zugelassen, wenn sie die in der Ausschreibung genannten Voraussetzungen erfüllen.</w:t>
      </w:r>
    </w:p>
    <w:p>
      <w:r>
        <w:t xml:space="preserve">(3) Wer zum Auswahlverfahren nicht zugelassen wird oder daran erfolglos teilgenommen hat, erhält eine schriftliche Mitteilung über die Ablehnung. Die Bewerbungsunterlagen werden vernichtet.</w:t>
      </w:r>
    </w:p>
    <w:p>
      <w:r>
        <w:rPr>
          <w:color w:val="555555"/>
          <w:sz w:val="17"/>
        </w:rPr>
        <w:t xml:space="preserve">Zitiervorschlag: § 6 HArchDVDV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https://recht.nulegal.eu/gesetze/HArchDVDV%202017/6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