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HArchDVDV 2017 — Nachteilsausgleich</w:t>
      </w:r>
    </w:p>
    <w:p>
      <w:r>
        <w:rPr>
          <w:color w:val="555555"/>
          <w:sz w:val="18"/>
        </w:rPr>
        <w:t xml:space="preserve">Verordnung über den Vorbereitungsdienst für den höheren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Einstellungsbehörde gewährt Menschen mit Beeinträchtigungen, die die Umsetzung der nachzuweisenden Kenntnisse einschränken, im Auswahlverfahren sowie bei Studien- und Prüfungsleistungen auf Antrag einen angemessenen Nachteilsausgleich. Die Einstellungsbehörde hat Menschen mit solchen Beeinträchtigungen rechtzeitig auf diese Vorschrift hinzuweisen.</w:t>
      </w:r>
    </w:p>
    <w:p>
      <w:r>
        <w:t xml:space="preserve">(2) Als Nachteilsausgleich kommt insbesondere die Verlängerung von Bearbeitungszeiten in Betracht. Art und Umfang des Nachteilsausgleichs sind mit den Betroffenen und der Schwerbehindertenvertretung rechtzeitig zu erörtern.</w:t>
      </w:r>
    </w:p>
    <w:p>
      <w:r>
        <w:t xml:space="preserve">(3) Die inhaltlichen Anforderungen an das Auswahlverfahren sowie an die Studien- und Prüfungsleistungen dürfen nicht herabgesetzt werden.</w:t>
      </w:r>
    </w:p>
    <w:p>
      <w:r>
        <w:t xml:space="preserve">(4) Gewährte Nachteilsausgleiche sind zu dokumentieren.</w:t>
      </w:r>
    </w:p>
    <w:p>
      <w:r>
        <w:rPr>
          <w:color w:val="555555"/>
          <w:sz w:val="17"/>
        </w:rPr>
        <w:t xml:space="preserve">Zitiervorschlag: § 3 HArchDVDV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https://recht.nulegal.eu/gesetze/HArchDVDV%202017/3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