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HArchDVDV 2017 — Modulhandbücher</w:t>
      </w:r>
    </w:p>
    <w:p>
      <w:r>
        <w:rPr>
          <w:color w:val="555555"/>
          <w:sz w:val="18"/>
        </w:rPr>
        <w:t xml:space="preserve">Verordnung über den Vorbereitungsdienst für den höheren Archivdienst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Modulhandbuch für die berufspraktischen Studien und für die Transferphase erstellt die Ausbildungsstelle. Das Modulhandbuch ist zu veröffentlichen. Im Modulhandbuch wird für jedes Modul insbesondere Folgendes festgelegt:</w:t>
      </w:r>
    </w:p>
    <w:p>
      <w:pPr>
        <w:ind w:left="420"/>
      </w:pPr>
      <w:r>
        <w:t xml:space="preserve">1. die Lehrinhalte und die Lernziele,</w:t>
      </w:r>
    </w:p>
    <w:p>
      <w:pPr>
        <w:ind w:left="420"/>
      </w:pPr>
      <w:r>
        <w:t xml:space="preserve">2. die Lehr- und die Lernformen,</w:t>
      </w:r>
    </w:p>
    <w:p>
      <w:pPr>
        <w:ind w:left="420"/>
      </w:pPr>
      <w:r>
        <w:t xml:space="preserve">3. Zahl und Form der abzulegenden Modulprüfungen,</w:t>
      </w:r>
    </w:p>
    <w:p>
      <w:pPr>
        <w:ind w:left="420"/>
      </w:pPr>
      <w:r>
        <w:t xml:space="preserve">4. der jeweilige durchschnittliche Arbeitsaufwand in Zeitstunden sowie</w:t>
      </w:r>
    </w:p>
    <w:p>
      <w:pPr>
        <w:ind w:left="420"/>
      </w:pPr>
      <w:r>
        <w:t xml:space="preserve">5. die Dauer des Moduls.</w:t>
      </w:r>
    </w:p>
    <w:p>
      <w:r>
        <w:t xml:space="preserve">(2) Als Modulhandbuch für die Fachstudien gilt Anlage 2 der Studienordnung für das Referendariat im höheren Archivdienst an der Archivschule Marburg – Hochschule für Archivwissenschaft vom 10. Dezember 2017 (Staatsanzeiger für das Land Hessen S. 123) entsprechend.</w:t>
      </w:r>
    </w:p>
    <w:p>
      <w:r>
        <w:rPr>
          <w:color w:val="555555"/>
          <w:sz w:val="17"/>
        </w:rPr>
        <w:t xml:space="preserve">Zitiervorschlag: § 12 HArchDVDV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https://recht.nulegal.eu/gesetze/HArchDVDV%202017/12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