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HArchDVDV 2017 — Leistungspunkte nach dem Europäischen System zur Übertragung und Akkumulierung von Studienleistungen</w:t>
      </w:r>
    </w:p>
    <w:p>
      <w:r>
        <w:rPr>
          <w:color w:val="555555"/>
          <w:sz w:val="18"/>
        </w:rPr>
        <w:t xml:space="preserve">Verordnung über den Vorbereitungsdienst für den höheren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erfolgreich absolvierte Module werden Leistungspunkte nach dem Europäischen System zur Übertragung und Akkumulierung von Studienleistungen vergeben. Ein Leistungspunkt entspricht einem durchschnittlichen Arbeitsaufwand von 30 Stunden.</w:t>
      </w:r>
    </w:p>
    <w:p>
      <w:r>
        <w:t xml:space="preserve">(2) Für den Vorbereitungsdienst können insgesamt 120 Leistungspunkte vergeben werden. Davon können 40 Leistungspunkte für die berufspraktischen Studien und 15 Leistungspunkte für die Transferphase vergeben werden.</w:t>
      </w:r>
    </w:p>
    <w:p>
      <w:r>
        <w:rPr>
          <w:color w:val="555555"/>
          <w:sz w:val="17"/>
        </w:rPr>
        <w:t xml:space="preserve">Zitiervorschlag: § 11 HArchDVDV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https://recht.nulegal.eu/gesetze/HArchDVDV%202017/11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