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HArchDVDV 2017 — Dauer und Gliederung des Vorbereitungsdienstes; Laufbahnprüfung</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Der Vorbereitungsdienst dauert zwei Jahre. Er besteht aus folgenden Ausbildungsphasen:</w:t>
      </w:r>
    </w:p>
    <w:p>
      <w:r>
        <w:rPr>
          <w:rFonts w:ascii="Courier New" w:hAnsi="Courier New"/>
          <w:sz w:val="17"/>
        </w:rPr>
        <w:t xml:space="preserve">    Ausbildungsphase    Durchführende Stelle    Dauer</w:t>
      </w:r>
    </w:p>
    <w:p>
      <w:r>
        <w:rPr>
          <w:rFonts w:ascii="Courier New" w:hAnsi="Courier New"/>
          <w:sz w:val="17"/>
        </w:rPr>
        <w:t xml:space="preserve">    1    2    3</w:t>
      </w:r>
    </w:p>
    <w:p>
      <w:r>
        <w:rPr>
          <w:rFonts w:ascii="Courier New" w:hAnsi="Courier New"/>
          <w:sz w:val="17"/>
        </w:rPr>
        <w:t xml:space="preserve">1    berufspraktische Studien    Bundesarchiv, die oder der Bundesbeauftragte für Stasiunterlagen oder Geheimes Staatsarchiv – Preußischer Kulturbesitz    8 Monate</w:t>
      </w:r>
    </w:p>
    <w:p>
      <w:r>
        <w:rPr>
          <w:rFonts w:ascii="Courier New" w:hAnsi="Courier New"/>
          <w:sz w:val="17"/>
        </w:rPr>
        <w:t xml:space="preserve">2    Fachstudien    Archivschule Marburg    12 Monate</w:t>
      </w:r>
    </w:p>
    <w:p>
      <w:r>
        <w:rPr>
          <w:rFonts w:ascii="Courier New" w:hAnsi="Courier New"/>
          <w:sz w:val="17"/>
        </w:rPr>
        <w:t xml:space="preserve">3    Transferphase    Archivschule Marburg und Bundesarchiv, die oder der Bundesbeauftragte für Stasiunterlagen oder Geheimes Staatsarchiv – Preußischer Kulturbesitz    3 Monate</w:t>
      </w:r>
    </w:p>
    <w:p>
      <w:r>
        <w:rPr>
          <w:rFonts w:ascii="Courier New" w:hAnsi="Courier New"/>
          <w:sz w:val="17"/>
        </w:rPr>
        <w:t xml:space="preserve">4    Prüfungsphase    Archivschule Marburg    1 Monat</w:t>
      </w:r>
    </w:p>
    <w:p>
      <w:r>
        <w:t xml:space="preserve">(2) Die berufspraktischen Studien unterteilen sich in vier Module:</w:t>
      </w:r>
    </w:p>
    <w:p>
      <w:pPr>
        <w:ind w:left="420"/>
      </w:pPr>
      <w:r>
        <w:t xml:space="preserve">1. Archivorganisation und -management,</w:t>
      </w:r>
    </w:p>
    <w:p>
      <w:pPr>
        <w:ind w:left="420"/>
      </w:pPr>
      <w:r>
        <w:t xml:space="preserve">2. Überlieferungsbildung,</w:t>
      </w:r>
    </w:p>
    <w:p>
      <w:pPr>
        <w:ind w:left="420"/>
      </w:pPr>
      <w:r>
        <w:t xml:space="preserve">3. Erschließung und Vermittlung von Archivgut,</w:t>
      </w:r>
    </w:p>
    <w:p>
      <w:pPr>
        <w:ind w:left="420"/>
      </w:pPr>
      <w:r>
        <w:t xml:space="preserve">4. archivalische Quellen und ihre Erhaltung.</w:t>
      </w:r>
    </w:p>
    <w:p>
      <w:r>
        <w:t xml:space="preserve">(3) Inhalt und Durchführung der Fachstudien richten sich nach den §§ 11 und 12 der Ausbildungs- und Prüfungsordnung für den Laufbahnzweig Archivrecht im höheren allgemeinen Verwaltungsdienst in Hessen vom 24. November 2016 (Staatsanzeiger für das Land Hessen S. 1614) sowie nach der Studienordnung für das Referendariat im höheren Archivdienst an der Archivschule Marburg – Hochschule für Archivwissenschaft vom 10. Dezember 2017 (Staatsanzeiger für das Land Hessen S. 123).</w:t>
      </w:r>
    </w:p>
    <w:p>
      <w:r>
        <w:t xml:space="preserve">(4) Inhalt und Durchführung der Prüfungsphase richten sich nach den §§ 14 bis 27 der Ausbildungs- und Prüfungsordnung für den Laufbahnzweig Archivdienst im höheren allgemeinen Verwaltungsdienst in Hessen.</w:t>
      </w:r>
    </w:p>
    <w:p>
      <w:r>
        <w:t xml:space="preserve">(5) Die archivarische Staatsprüfung nach § 14 Absatz 1 Satz 1 der Ausbildungs- und Prüfungsordnung für den Laufbahnzweig Archivdienst im höheren allgemeinen Verwaltungsdienst in Hessen ist die Laufbahnprüfung für den höheren Archivdienst des Bundes.</w:t>
      </w:r>
    </w:p>
    <w:p>
      <w:r>
        <w:rPr>
          <w:color w:val="555555"/>
          <w:sz w:val="17"/>
        </w:rPr>
        <w:t xml:space="preserve">Zitiervorschlag: § 10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