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HAbgG NRW (Nordrhein-Westfalen) — (aufgehoben)</w:t>
      </w:r>
    </w:p>
    <w:p>
      <w:r>
        <w:rPr>
          <w:color w:val="555555"/>
          <w:sz w:val="18"/>
        </w:rPr>
        <w:t xml:space="preserve">Hochschulabgabengesetz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Zweiter Abschnitt</w:t>
      </w:r>
    </w:p>
    <w:p>
      <w:r>
        <w:t xml:space="preserve">Nachlagerung</w:t>
      </w:r>
    </w:p>
    <w:p>
      <w:r>
        <w:rPr>
          <w:color w:val="555555"/>
          <w:sz w:val="17"/>
        </w:rPr>
        <w:t xml:space="preserve">Zitiervorschlag: § 11 HAbgG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https://recht.nulegal.eu/gesetze/HAbgG%20NRW/11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