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HAbgG NRW (Nordrhein-Westfalen) — Anwendungsbereich</w:t>
      </w:r>
    </w:p>
    <w:p>
      <w:r>
        <w:rPr>
          <w:color w:val="555555"/>
          <w:sz w:val="18"/>
        </w:rPr>
        <w:t xml:space="preserve">Hochschulabgabengesetz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Hochschulen im Sinne des § 1 Abs. 2 des Hochschulgesetzes und im Sinne des § 1 Abs. 2 des Kunsthochschulgesetzes erheben Abgaben nach diesem Gesetz.</w:t>
      </w:r>
    </w:p>
    <w:p>
      <w:r>
        <w:t xml:space="preserve">(2) Auf die Erhebung von Abgaben nach diesem Gesetz finden die §§ 3 bis 6, 9 bis 22, 25 Abs. 1 des Gebührengesetzes für das Land Nordrhein-Westfalen entsprechende Anwendung, soweit in diesem Gesetz oder durch Rechtsverordnung nichts anderes bestimmt ist.</w:t>
      </w:r>
    </w:p>
    <w:p>
      <w:r>
        <w:rPr>
          <w:color w:val="555555"/>
          <w:sz w:val="17"/>
        </w:rPr>
        <w:t xml:space="preserve">Zitiervorschlag: § 1 HAbgG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https://recht.nulegal.eu/gesetze/HAbgG%20NRW/1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