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HAbg-VO (Nordrhein-Westfalen)</w:t>
      </w:r>
    </w:p>
    <w:p>
      <w:r>
        <w:rPr>
          <w:color w:val="555555"/>
          <w:sz w:val="18"/>
        </w:rPr>
        <w:t xml:space="preserve">Hochschulabgabenverordnung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August 2015</w:t>
      </w:r>
    </w:p>
    <w:p>
      <w:r>
        <w:t xml:space="preserve">Auf Grund</w:t>
      </w:r>
    </w:p>
    <w:p>
      <w:r>
        <w:t xml:space="preserve">- des § 6 Satz 2 und 3, des § 17 Absatz 4 Satz 1 und des § 19 des Hochschulabgabengesetzes vom 21. März 2006 (GV. NRW. S. 119), von denen § 19 zuletzt durch Artikel 11 des Gesetzes vom 16. September 2014 (GV. NRW. S. 547) geändert worden ist und hinsichtlich des § 17 Absatz 4 Satz 1 und des § 19 Absatz 2 und 3 im Einvernehmen mit dem Finanzministerium,</w:t>
      </w:r>
    </w:p>
    <w:p>
      <w:r>
        <w:t xml:space="preserve">- des § 29 Absatz 4 Satz 3 und 4 des Hochschulgesetzes vom 16. September 2014 (GV. NRW. S. 547) und insoweit im Einvernehmen mit dem Finanzministerium sowie</w:t>
      </w:r>
    </w:p>
    <w:p>
      <w:r>
        <w:t xml:space="preserve">- des § 26 Absatz 4 Satz 3 und 4 des (Kunsthochschulgesetzes vom 13. März 2008 (GV. NRW. S. 195) und insoweit im Einvernehmen mit dem Finanzministerium</w:t>
      </w:r>
    </w:p>
    <w:p>
      <w:r>
        <w:t xml:space="preserve">verordnet das Ministerium für Innovation, Wissenschaft und Forschung:</w:t>
      </w:r>
    </w:p>
    <w:p>
      <w:r>
        <w:rPr>
          <w:color w:val="555555"/>
          <w:sz w:val="17"/>
        </w:rPr>
        <w:t xml:space="preserve">Zitiervorschlag: Eingangsformel HAbg-VO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https://recht.nulegal.eu/gesetze/HAbg-VO/eingangsformel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