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HAbg-VO (Nordrhein-Westfalen) — Mitwirkungspflichten</w:t>
      </w:r>
    </w:p>
    <w:p>
      <w:r>
        <w:rPr>
          <w:color w:val="555555"/>
          <w:sz w:val="18"/>
        </w:rPr>
        <w:t xml:space="preserve">Hochschulabgabenverordnung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Darlehensnehmerin oder der Darlehensnehmer hat</w:t>
      </w:r>
    </w:p>
    <w:p>
      <w:r>
        <w:t xml:space="preserve">1. alle Tatsachen anzugeben, die für die Entscheidung über die Freistellung von der Verpflichtung zur Rückzahlung nach § 14 des Hochschulabgabengesetzes oder über die Minderung der Darlehenslasten im Sinne des § 15 des Hochschulabgabengesetzes erforderlich sind,</w:t>
      </w:r>
    </w:p>
    <w:p>
      <w:r>
        <w:t xml:space="preserve">2. Änderungen in den Verhältnissen, die für diese Entscheidung erheblich sind oder über die im Zusammenhang mit der Entscheidung Erklärungen abgegeben worden sind, unverzüglich mitzuteilen und</w:t>
      </w:r>
    </w:p>
    <w:p>
      <w:r>
        <w:t xml:space="preserve">3. Beweismittel zu bezeichnen und auf Verlangen der NRW.BANK Beweisurkunden (insbesondere Steuererklärungen, Einkommensnachweise, Bescheide des Sozialamtes, Bescheide des Bundesverwaltungsamtes zum Bundesausbildungsförderungsgesetz) vorzulegen.</w:t>
      </w:r>
    </w:p>
    <w:p>
      <w:r>
        <w:t xml:space="preserve">(2) Die NRW.BANK kann hinsichtlich der Umstände im Sinne des Absatzes 1 eine Versicherung an Eides statt verlangen und abnehmen. Soweit für die in Satz 1 Nummer 1 und 2 genannten Angaben Vordrucke vorgesehen sind, sollen diese benutzt werden.</w:t>
      </w:r>
    </w:p>
    <w:p>
      <w:r>
        <w:t xml:space="preserve">(3) Die Darlehensnehmerin oder der Darlehensnehmer trägt die Darlegungs- und materielle Beweislast für die Freistellung oder Minderung im Sinne des Absatzes 1 Nummer 1. Ein späteres Vorbringen der Darlehensnehmerin oder des Darlehensnehmers kann unberücksichtigt bleiben, wenn andernfalls die Entscheidung der NRW.BANK verzögert würde. Die Darlehensnehmerin oder der Darlehensnehmer ist hierauf hinzuweisen.</w:t>
      </w:r>
    </w:p>
    <w:p>
      <w:r>
        <w:rPr>
          <w:color w:val="555555"/>
          <w:sz w:val="17"/>
        </w:rPr>
        <w:t xml:space="preserve">Zitiervorschlag: § 7 HAbg-VO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https://recht.nulegal.eu/gesetze/HAbg-VO/7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