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HAbg-VO (Nordrhein-Westfalen) — Übergangsregelungen</w:t>
      </w:r>
    </w:p>
    <w:p>
      <w:r>
        <w:rPr>
          <w:color w:val="555555"/>
          <w:sz w:val="18"/>
        </w:rPr>
        <w:t xml:space="preserve">Hochschulabgabenverordnung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für das Studium eines weiterbildenden Masterstudienganges im Sinne des § 62 Absatz 3 des Hochschulgesetzes oder des § 54 Absatz 3 des Kunsthochschulgesetzes festgesetzte besondere Gasthörerbeitrag gilt solange als Weiterbildungsbeitrag im Sinne des § 1 Absatz 2, bis er als Weiterbildungsbeitrag gesondert gemäß § 1 Absatz 2 Satz 3 Halbsatz 1 festgesetzt worden ist. Die Hochschulen setzen diesen besonderen Gasthörerbeitrag unverzüglich als Weiterbildungsbeitrag gesondert fest.</w:t>
      </w:r>
    </w:p>
    <w:p>
      <w:r>
        <w:rPr>
          <w:color w:val="555555"/>
          <w:sz w:val="17"/>
        </w:rPr>
        <w:t xml:space="preserve">Zitiervorschlag: § 13 HAbg-VO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https://recht.nulegal.eu/gesetze/HAbg-VO/13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