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HAVELPOLDER (Brandenburg)</w:t>
      </w:r>
    </w:p>
    <w:p>
      <w:r>
        <w:rPr>
          <w:color w:val="555555"/>
          <w:sz w:val="18"/>
        </w:rPr>
        <w:t xml:space="preserve">Gesetz zum Staatsvertrag über die Flutung der Havelpolder und die Einrichtung einer gemeinsamen Schiedsstelle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13. Juli 2023 vom Land Brandenburg unterzeichneten Staatsvertrag zwischen den Ländern Brandenburg, Sachsen-Anhalt, Mecklenburg-Vorpommern, Niedersachsen und Schleswig-Holstein und der Bundesrepublik Deutschland über die Flutung der Havelpolder und die Einrichtung einer gemeinsamen Schiedsstelle wird zugestimmt. Der Staatsvertrag wird nachstehend veröffentlicht.</w:t>
      </w:r>
    </w:p>
    <w:p>
      <w:r>
        <w:rPr>
          <w:color w:val="555555"/>
          <w:sz w:val="17"/>
        </w:rPr>
        <w:t xml:space="preserve">Zitiervorschlag: § 1 HAVELPOLDER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https://recht.nulegal.eu/gesetze/HAVELPOLDER/1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