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HAV</w:t>
      </w:r>
    </w:p>
    <w:p>
      <w:r>
        <w:rPr>
          <w:color w:val="555555"/>
          <w:sz w:val="18"/>
        </w:rPr>
        <w:t xml:space="preserve">Hüttenknappschaftliche Abstimmungsverordnung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2 Satz 6 des Hüttenknappschaftlichen Zusatzversicherungs-Gesetzes vom 22. Dezember 1971 (Bundesgesetzbl. I S. 2104), geändert durch Artikel 4 § 4 des Rentenreformgesetzes vom 16. Oktober 1972 (Bundesgesetzbl. I S. 1965), wird mit Zustimmung des Bundesrates verordnet:</w:t>
      </w:r>
    </w:p>
    <w:p>
      <w:r>
        <w:rPr>
          <w:color w:val="555555"/>
          <w:sz w:val="17"/>
        </w:rPr>
        <w:t xml:space="preserve">Zitiervorschlag: Eingangsformel HAV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