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HAV — Aufbewahrung der Abstimmungsunterlagen</w:t>
      </w:r>
    </w:p>
    <w:p>
      <w:r>
        <w:rPr>
          <w:color w:val="555555"/>
          <w:sz w:val="18"/>
        </w:rPr>
        <w:t xml:space="preserve">Hüttenknappschaftliche Abstimmungsverordnung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Versicherungsträger hat die Abstimmungsunterlagen mindestens ein Jahr aufzubewahren; die Frist beginnt mit dem auf den Tag der Entscheidung über den Aufnahmeantrag folgenden Kalenderjahr.</w:t>
      </w:r>
    </w:p>
    <w:p>
      <w:r>
        <w:rPr>
          <w:color w:val="555555"/>
          <w:sz w:val="17"/>
        </w:rPr>
        <w:t xml:space="preserve">Zitiervorschlag: § 12 HAV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