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HAGDV 1 — Beteiligung des Heimarbeitsausschusses</w:t>
      </w:r>
    </w:p>
    <w:p>
      <w:r>
        <w:rPr>
          <w:color w:val="555555"/>
          <w:sz w:val="18"/>
        </w:rPr>
        <w:t xml:space="preserve">Erste Rechtsverordnung zur Durchführung des Heimarbeitsgesetzes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Oberste Arbeitsbehörde des Landes oder die von ihr bestimmte Stelle verpflichtet, sich mit dem Heimarbeitsausschuß ins Benehmen zu setzen (§ 10 Satz 2 HAG), so ist der Vorsitzende des Heimarbeitsausschusses rechtzeitig von der beabsichtigten Maßnahme zu verständigen. Die Maßnahme soll erst erfolgen, nachdem der Heimarbeitsausschuß durch einen Beschluß (§ 4 Abs. 3 HAG) seine Stellungnahme festgelegt und der Arbeitsbehörde mitgeteilt hat. Der Beschluß des Heimarbeitsausschusses kann schriftlich herbeigeführt werden.</w:t>
      </w:r>
    </w:p>
    <w:p>
      <w:r>
        <w:rPr>
          <w:color w:val="555555"/>
          <w:sz w:val="17"/>
        </w:rPr>
        <w:t xml:space="preserve">Zitiervorschlag: § 6 HAGDV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https://recht.nulegal.eu/gesetze/HAGDV%201/6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