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HAGDV 1 — Bekanntmachung der Errichtung von Heimarbeitsausschüssen</w:t>
      </w:r>
    </w:p>
    <w:p>
      <w:r>
        <w:rPr>
          <w:color w:val="555555"/>
          <w:sz w:val="18"/>
        </w:rPr>
        <w:t xml:space="preserve">Erste Rechtsverordnung zur Durchführung des Heimarbeitsgesetzes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Errichtung des Heimarbeitsausschusses ist an einer von der zuständigen Arbeitsbehörde jeweils zu bestimmenden Stelle bekanntzumachen. Der räumliche, sachliche und persönliche Zuständigkeitsbereich des Heimarbeitsausschusses ist dabei anzugeben.</w:t>
      </w:r>
    </w:p>
    <w:p>
      <w:r>
        <w:rPr>
          <w:color w:val="555555"/>
          <w:sz w:val="17"/>
        </w:rPr>
        <w:t xml:space="preserve">Zitiervorschlag: § 2 HAGDV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https://recht.nulegal.eu/gesetze/HAGDV%201/2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