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HAG — Straftaten und Ordnungswidrigkeiten im Bereich des Arbeits- und Gefahrenschutzes</w:t>
      </w:r>
    </w:p>
    <w:p>
      <w:r>
        <w:rPr>
          <w:color w:val="555555"/>
          <w:sz w:val="18"/>
        </w:rPr>
        <w:t xml:space="preserve">Heimarbeitsgesetz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wer, abgesehen von den Fällen des § 31, vorsätzlich oder fahrlässig</w:t>
      </w:r>
    </w:p>
    <w:p>
      <w:pPr>
        <w:ind w:left="420"/>
      </w:pPr>
      <w:r>
        <w:t xml:space="preserve">1. einer zur Durchführung des Gefahrenschutzes erlassenen Rechtsvorschrift (§§ 13, 14 Abs. 1, 3, § 34 Abs. 2 Satz 2), soweit sie für einen bestimmten Tatbestand auf diese Bußgeldvorschrift verweist, oder</w:t>
      </w:r>
    </w:p>
    <w:p>
      <w:pPr>
        <w:ind w:left="420"/>
      </w:pPr>
      <w:r>
        <w:t xml:space="preserve">2. einer vollziehbaren Verfügung nach § 14 Abs. 2 oder § 16a</w:t>
      </w:r>
    </w:p>
    <w:p>
      <w:r>
        <w:t xml:space="preserve">zuwiderhandelt. Die in Satz 1 Nr. 1 vorgeschriebene Verweisung ist nicht erforderlich, soweit die dort genannten Rechtsvorschriften vor Inkrafttreten dieses Gesetzes erlassen sind.</w:t>
      </w:r>
    </w:p>
    <w:p>
      <w:r>
        <w:t xml:space="preserve">(2) Die Ordnungswidrigkeit kann mit einer Geldbuße bis zu zehntausend Euro geahndet werden.</w:t>
      </w:r>
    </w:p>
    <w:p>
      <w:r>
        <w:t xml:space="preserve">(3) Wer vorsätzlich eine der in Absatz 1 bezeichneten Handlungen begeht und dadurch in Heimarbeit Beschäftigte in ihrer Arbeitskraft oder Gesundheit gefährdet, wird mit Freiheitsstrafe bis zu einem Jahr oder mit Geldstrafe bestraft.</w:t>
      </w:r>
    </w:p>
    <w:p>
      <w:r>
        <w:t xml:space="preserve">(4) Wer in den Fällen des Absatzes 3 die Gefahr fahrlässig verursacht, wird mit Freiheitsstrafe bis zu sechs Monaten oder mit Geldstrafe bis zu einhundertachtzig Tagessätzen bestraft.</w:t>
      </w:r>
    </w:p>
    <w:p>
      <w:r>
        <w:rPr>
          <w:color w:val="555555"/>
          <w:sz w:val="17"/>
        </w:rPr>
        <w:t xml:space="preserve">Zitiervorschlag: § 32 HAG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