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HAG — Entgeltschutz für fremde Hilfskräfte</w:t>
      </w:r>
    </w:p>
    <w:p>
      <w:r>
        <w:rPr>
          <w:color w:val="555555"/>
          <w:sz w:val="18"/>
        </w:rPr>
        <w:t xml:space="preserve">Heimarbeitsgesetz</w:t>
      </w:r>
    </w:p>
    <w:p>
      <w:r>
        <w:rPr>
          <w:color w:val="555555"/>
          <w:sz w:val="18"/>
        </w:rPr>
        <w:t xml:space="preserve">Stand: 10.06.2019 (konsolidierte Textfassung, kein amtliches Inkrafttretensdatum)</w:t>
      </w:r>
    </w:p>
    <w:p>
      <w:r>
        <w:t xml:space="preserve">(1) Hat ein Hausgewerbetreibender oder Gleichgestellter einer fremden Hilfskraft ein Entgelt gezahlt, das niedriger ist als das durch Mindestarbeitsbedingungen (§ 22) festgesetzte, so gelten die Vorschriften der §§ 24 und 25 über die Aufforderung zur Nachzahlung der Minderbeträge und über die Klagebefugnis der Länder sinngemäß.</w:t>
      </w:r>
    </w:p>
    <w:p>
      <w:r>
        <w:t xml:space="preserve">(2) Das gleiche gilt, wenn ein Hausgewerbetreibender oder Gleichgestellter eine fremde Hilfskraft nicht nach der einschlägigen tariflichen Regelung entlohnt. Voraussetzung ist, daß die Entgelte des Hausgewerbetreibenden oder Gleichgestellten durch eine Entgeltregelung (§§ 17 bis 19) festgelegt sind.</w:t>
      </w:r>
    </w:p>
    <w:p>
      <w:r>
        <w:rPr>
          <w:color w:val="555555"/>
          <w:sz w:val="17"/>
        </w:rPr>
        <w:t xml:space="preserve">Zitiervorschlag: § 26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https://recht.nulegal.eu/gesetze/HAG/26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