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HAG — Klagebefugnis der Länder</w:t>
      </w:r>
    </w:p>
    <w:p>
      <w:r>
        <w:rPr>
          <w:color w:val="555555"/>
          <w:sz w:val="18"/>
        </w:rPr>
        <w:t xml:space="preserve">Heimarbeitsgesetz</w:t>
      </w:r>
    </w:p>
    <w:p>
      <w:r>
        <w:rPr>
          <w:color w:val="555555"/>
          <w:sz w:val="18"/>
        </w:rPr>
        <w:t xml:space="preserve">Stand: 10.06.2019 (konsolidierte Textfassung, kein amtliches Inkrafttretensdatum)</w:t>
      </w:r>
    </w:p>
    <w:p>
      <w:r>
        <w:t xml:space="preserve">Das Land, vertreten durch die oberste Arbeitsbehörde oder die von ihr bestimmte Stelle, kann im eigenen Namen den Anspruch auf Nachzahlung des Minderbetrags an den Berechtigten gerichtlich geltend machen. Das Urteil wirkt auch für und gegen den in Heimarbeit Beschäftigten oder den Gleichgestellten. § 24 Satz 3 gilt entsprechend.</w:t>
      </w:r>
    </w:p>
    <w:p>
      <w:r>
        <w:rPr>
          <w:color w:val="555555"/>
          <w:sz w:val="17"/>
        </w:rPr>
        <w:t xml:space="preserve">Zitiervorschlag: § 25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