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HAG — Anzeigepflicht</w:t>
      </w:r>
    </w:p>
    <w:p>
      <w:r>
        <w:rPr>
          <w:color w:val="555555"/>
          <w:sz w:val="18"/>
        </w:rPr>
        <w:t xml:space="preserve">Heimarbeitsgesetz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Heimarbeit ausgibt, für die zur Durchführung des Gefahrenschutzes besondere Vorschriften gelten, hat dem Gewerbeaufsichtsamt und der Polizeibehörde Namen und Arbeitsstätte der von ihm mit Heimarbeit Beschäftigten anzuzeigen.</w:t>
      </w:r>
    </w:p>
    <w:p>
      <w:r>
        <w:rPr>
          <w:color w:val="555555"/>
          <w:sz w:val="17"/>
        </w:rPr>
        <w:t xml:space="preserve">Zitiervorschlag: § 15 HAG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