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HüSalmoV — Mitteilungen der Länder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Die zuständige Behörde übermittelt dem Bundesministerium für Ernährung und Landwirtschaft zur Weitergabe an die Europäische Kommission jährlich bis zum 15. Februar des folgenden Jahres die nach der jeweiligen Nummer 4 des Anhangs</w:t>
      </w:r>
    </w:p>
    <w:p>
      <w:pPr>
        <w:ind w:left="420"/>
      </w:pPr>
      <w:r>
        <w:t xml:space="preserve">1. der Verordnung (EU) Nr. 200/2010,</w:t>
      </w:r>
    </w:p>
    <w:p>
      <w:pPr>
        <w:ind w:left="420"/>
      </w:pPr>
      <w:r>
        <w:t xml:space="preserve">2. der Verordnung (EU) Nr. 517/2011,</w:t>
      </w:r>
    </w:p>
    <w:p>
      <w:pPr>
        <w:ind w:left="420"/>
      </w:pPr>
      <w:r>
        <w:t xml:space="preserve">3. der Verordnung (EU) Nr. 200/2012,</w:t>
      </w:r>
    </w:p>
    <w:p>
      <w:pPr>
        <w:ind w:left="420"/>
      </w:pPr>
      <w:r>
        <w:t xml:space="preserve">4. der Verordnung (EU) Nr. 1190/2012</w:t>
      </w:r>
    </w:p>
    <w:p>
      <w:r>
        <w:t xml:space="preserve">erforderlichen Angaben.</w:t>
      </w:r>
    </w:p>
    <w:p>
      <w:r>
        <w:rPr>
          <w:color w:val="555555"/>
          <w:sz w:val="17"/>
        </w:rPr>
        <w:t xml:space="preserve">Zitiervorschlag: § 35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