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Maßnahmen nach § 28 sind nicht mehr anzuwenden, sofern die Salmonellen der Kategorie 1 oder 2 im Sinne des Absatzes 2 bekämpft sind.</w:t>
      </w:r>
    </w:p>
    <w:p>
      <w:r>
        <w:t xml:space="preserve">(2) Salmonellen der Kategorie 1 oder 2 gelten als bekämpft, sofern</w:t>
      </w:r>
    </w:p>
    <w:p>
      <w:pPr>
        <w:ind w:left="420"/>
      </w:pPr>
      <w:r>
        <w:t xml:space="preserve">1. alle Eintagsküken und Eier aus der betroffenen Brüterei oder dem betroffenen Brüter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t xml:space="preserve">In den Fällen der Feststellung von Salmonellen der Kategorie 2 gelten diese als bekämpft, sofern</w:t>
      </w:r>
    </w:p>
    <w:p>
      <w:pPr>
        <w:ind w:left="420"/>
      </w:pPr>
      <w:r>
        <w:t xml:space="preserve">1. alle Eintagsküken</w:t>
      </w:r>
    </w:p>
    <w:p>
      <w:pPr>
        <w:ind w:left="780"/>
      </w:pPr>
      <w:r>
        <w:t xml:space="preserve">a) in einen anderen Betrieb oder in eine andere Herde umgestallt und dort nach § 10 Absatz 2 Nummer 1 Buchstabe a behandelt oder nach § 10 Absatz 2 Nummer 1 Buchstabe b geimpft und</w:t>
      </w:r>
    </w:p>
    <w:p>
      <w:pPr>
        <w:ind w:left="780"/>
      </w:pPr>
      <w:r>
        <w:t xml:space="preserve">b) frühestens zwei Wochen nach der Umstallung mit negativem Ergebnis auf Salmonellen der Kategorie 2 nach § 9 untersucht und</w:t>
      </w:r>
    </w:p>
    <w:p>
      <w:pPr>
        <w:ind w:left="420"/>
      </w:pPr>
      <w:r>
        <w:t xml:space="preserve">2. alle Eier aus der betroffenen Brüterei oder dem betroffenen Brüter entfernt</w:t>
      </w:r>
    </w:p>
    <w:p>
      <w:r>
        <w:t xml:space="preserve">worden sind.</w:t>
      </w:r>
    </w:p>
    <w:p>
      <w:r>
        <w:rPr>
          <w:color w:val="555555"/>
          <w:sz w:val="17"/>
        </w:rPr>
        <w:t xml:space="preserve">Zitiervorschlag: § 29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