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HüSalmoV — Amtliche Untersuchung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(1) Soweit epidemiologische Untersuchungen in einem Hühneraufzuchtbetrieb oder in einem Hühnerzuchtbetrieb auf Salmonellen der Kategorie 1 oder 2 schließen lassen, hat die zuständige Behörde eine Untersuchung nach Nummer 2.2.2.2 Buchstabe b und gegebenenfalls Buchstabe c des Anhangs der Verordnung (EU) Nr. 200/2010 durchzuführen.</w:t>
      </w:r>
    </w:p>
    <w:p>
      <w:r>
        <w:t xml:space="preserve">(2) Im Falle einer Mitteilung nach § 4 Absatz 1 oder 3 kann die zuständige Behörde eine Untersuchung der betroffenen Herde nach der in Absatz 1 genannten Maßgabe durchführen.</w:t>
      </w:r>
    </w:p>
    <w:p>
      <w:r>
        <w:rPr>
          <w:color w:val="555555"/>
          <w:sz w:val="17"/>
        </w:rPr>
        <w:t xml:space="preserve">Zitiervorschlag: § 27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