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25 HüSalmoV — Aufhebung der Maßregeln</w:t>
      </w:r>
    </w:p>
    <w:p>
      <w:r>
        <w:rPr>
          <w:color w:val="555555"/>
          <w:sz w:val="18"/>
        </w:rPr>
        <w:t xml:space="preserve">Geflügel-Salmonellen-Verordnung</w:t>
      </w:r>
    </w:p>
    <w:p>
      <w:r>
        <w:rPr>
          <w:color w:val="555555"/>
          <w:sz w:val="18"/>
        </w:rPr>
        <w:t xml:space="preserve">Stand: 22.12.2023 (konsolidierte Textfassung, kein amtliches Inkrafttretensdatum)</w:t>
      </w:r>
    </w:p>
    <w:p>
      <w:r>
        <w:t xml:space="preserve">(1) Die Maßnahmen nach § 24 sind nicht mehr anzuwenden, sofern die Salmonellen der Kategorie 1 im Sinne des Absatzes 2 bekämpft sind.</w:t>
      </w:r>
    </w:p>
    <w:p>
      <w:r>
        <w:t xml:space="preserve">(2) Salmonellen der Kategorie 1 gelten als bekämpft, sofern</w:t>
      </w:r>
    </w:p>
    <w:p>
      <w:pPr>
        <w:ind w:left="420"/>
      </w:pPr>
      <w:r>
        <w:t xml:space="preserve">1. alle Hühner aus dem betroffenen Betrieb oder aus der betroffenen Herde entfernt worden sind und</w:t>
      </w:r>
    </w:p>
    <w:p>
      <w:pPr>
        <w:ind w:left="420"/>
      </w:pPr>
      <w:r>
        <w:t xml:space="preserve">2. eine Reinigung und Desinfektion nach § 7 Absatz 1 Satz 1 sowie eine Bekämpfung von Schadnagern, Schadinsekten und Parasiten nach § 7 Absatz 1 Satz 2 durchgeführt worden ist.</w:t>
      </w:r>
    </w:p>
    <w:p>
      <w:r>
        <w:rPr>
          <w:color w:val="555555"/>
          <w:sz w:val="17"/>
        </w:rPr>
        <w:t xml:space="preserve">Zitiervorschlag: § 25 HüSalmoV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https://recht.nulegal.eu/gesetze/H%C3%BCSalmoV/25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