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HüSalmoV — Maßregeln nach Feststellung von Salmonellen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Sind in einem Legehennenbetrieb Salmonellen der Kategorie 1 festgestellt worden, dürfen</w:t>
      </w:r>
    </w:p>
    <w:p>
      <w:pPr>
        <w:ind w:left="420"/>
      </w:pPr>
      <w:r>
        <w:t xml:space="preserve">1. Hühner aus dem Betrieb oder der betroffenen Herde nur verbracht werden</w:t>
      </w:r>
    </w:p>
    <w:p>
      <w:pPr>
        <w:ind w:left="780"/>
      </w:pPr>
      <w:r>
        <w:t xml:space="preserve">a) zu diagnostischen Zwecken,</w:t>
      </w:r>
    </w:p>
    <w:p>
      <w:pPr>
        <w:ind w:left="780"/>
      </w:pPr>
      <w:r>
        <w:t xml:space="preserve">b) unmittelbar zur Schlachtung nach Maßgabe des Anhangs III Abschnitt II Kapitel I Nummer 2 der Verordnung (EG) Nr. 853/2004 oder</w:t>
      </w:r>
    </w:p>
    <w:p>
      <w:pPr>
        <w:ind w:left="780"/>
      </w:pPr>
      <w:r>
        <w:t xml:space="preserve">c) zur Tötung und unschädlichen Beseitigung,</w:t>
      </w:r>
    </w:p>
    <w:p>
      <w:pPr>
        <w:ind w:left="420"/>
      </w:pPr>
      <w:r>
        <w:t xml:space="preserve">2. Eier aus dem Betrieb oder der betroffenen Herde nur</w:t>
      </w:r>
    </w:p>
    <w:p>
      <w:pPr>
        <w:ind w:left="780"/>
      </w:pPr>
      <w:r>
        <w:t xml:space="preserve">a) unmittelbar zur Verarbeitung in einen nach Artikel 4 Absatz 2 der Verordnung (EG) Nr. 853/2004 zugelassenen Verarbeitungsbetrieb für Eiprodukte,</w:t>
      </w:r>
    </w:p>
    <w:p>
      <w:pPr>
        <w:ind w:left="780"/>
      </w:pPr>
      <w:r>
        <w:t xml:space="preserve">b) als Eier der Klasse B nach Artikel 2 Absatz 4 der Verordnung (EG) Nr. 589/2008 oder</w:t>
      </w:r>
    </w:p>
    <w:p>
      <w:pPr>
        <w:ind w:left="780"/>
      </w:pPr>
      <w:r>
        <w:t xml:space="preserve">c) zur unschädlichen Beseitigung</w:t>
      </w:r>
    </w:p>
    <w:p>
      <w:pPr>
        <w:ind w:left="420"/>
      </w:pPr>
      <w:r>
        <w:t xml:space="preserve">verbracht werden.</w:t>
      </w:r>
    </w:p>
    <w:p>
      <w:r>
        <w:t xml:space="preserve">Satz 1 gilt im Falle einer Untersuchung, die nach Maßgabe der Nummer 2.1 Satz 4 des Anhangs der Verordnung (EU) Nr. 517/2011 durchgeführt wird, entsprechend.</w:t>
      </w:r>
    </w:p>
    <w:p>
      <w:r>
        <w:t xml:space="preserve">(2) Die zuständige Behörde kann auf Basis einer Mitteilung nach § 4 Absatz 2 auch vor der Serotypisierung der Salmonellen Maßnahmen nach Absatz 1 anordnen.</w:t>
      </w:r>
    </w:p>
    <w:p>
      <w:r>
        <w:rPr>
          <w:color w:val="555555"/>
          <w:sz w:val="17"/>
        </w:rPr>
        <w:t xml:space="preserve">Zitiervorschlag: § 20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