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HüSalmoV — Maßregeln nach Feststellung von Salmonellen</w:t>
      </w:r>
    </w:p>
    <w:p>
      <w:r>
        <w:rPr>
          <w:color w:val="555555"/>
          <w:sz w:val="18"/>
        </w:rPr>
        <w:t xml:space="preserve">Geflügel-Salmonellen-Verordnung</w:t>
      </w:r>
    </w:p>
    <w:p>
      <w:r>
        <w:rPr>
          <w:color w:val="555555"/>
          <w:sz w:val="18"/>
        </w:rPr>
        <w:t xml:space="preserve">Stand: 22.12.2023 (konsolidierte Textfassung, kein amtliches Inkrafttretensdatum)</w:t>
      </w:r>
    </w:p>
    <w:p>
      <w:r>
        <w:t xml:space="preserve">Sind in einem Hühneraufzuchtbetrieb Salmonellen der Kategorie 1 festgestellt worden, gilt § 10 entsprechend.</w:t>
      </w:r>
    </w:p>
    <w:p>
      <w:r>
        <w:rPr>
          <w:color w:val="555555"/>
          <w:sz w:val="17"/>
        </w:rPr>
        <w:t xml:space="preserve">Zitiervorschlag: § 15 HüSalmoV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https://recht.nulegal.eu/gesetze/H%C3%BCSalmoV/15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