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HüSalmoV — Amtliche Untersuchung</w:t>
      </w:r>
    </w:p>
    <w:p>
      <w:r>
        <w:rPr>
          <w:color w:val="555555"/>
          <w:sz w:val="18"/>
        </w:rPr>
        <w:t xml:space="preserve">Geflügel-Salmonellen-Verordnung</w:t>
      </w:r>
    </w:p>
    <w:p>
      <w:r>
        <w:rPr>
          <w:color w:val="555555"/>
          <w:sz w:val="18"/>
        </w:rPr>
        <w:t xml:space="preserve">Stand: 22.12.2023 (konsolidierte Textfassung, kein amtliches Inkrafttretensdatum)</w:t>
      </w:r>
    </w:p>
    <w:p>
      <w:r>
        <w:t xml:space="preserve">Im Falle einer Mitteilung nach § 4 Absatz 1 kann die zuständige Behörde eine Untersuchung der betroffenen Herde nach Maßgabe der Nummer 2.1 Buchstabe d und e, der Nummern 2.2 und 3 des Anhangs der Verordnung (EU) Nr. 517/2011 durchführen.</w:t>
      </w:r>
    </w:p>
    <w:p>
      <w:r>
        <w:rPr>
          <w:color w:val="555555"/>
          <w:sz w:val="17"/>
        </w:rPr>
        <w:t xml:space="preserve">Zitiervorschlag: § 14 HüSalmoV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https://recht.nulegal.eu/gesetze/H%C3%BCSalmoV/14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