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HüSalmoV — Impfungen</w:t>
      </w:r>
    </w:p>
    <w:p>
      <w:r>
        <w:rPr>
          <w:color w:val="555555"/>
          <w:sz w:val="18"/>
        </w:rPr>
        <w:t xml:space="preserve">Geflügel-Salmonellen-Verordnung</w:t>
      </w:r>
    </w:p>
    <w:p>
      <w:r>
        <w:rPr>
          <w:color w:val="555555"/>
          <w:sz w:val="18"/>
        </w:rPr>
        <w:t xml:space="preserve">Stand: 22.12.2023 (konsolidierte Textfassung, kein amtliches Inkrafttretensdatum)</w:t>
      </w:r>
    </w:p>
    <w:p>
      <w:r>
        <w:t xml:space="preserve">(1) Der Unternehmer eines Hühneraufzuchtbetriebes hat die Küken und Junghennen seines Bestandes gegen Salmonella Enteritidis mit einem für diesen Serotyp zugelassenen Impfstoff zu impfen oder impfen zu lassen. Die §§ 43 und 44 der Tierimpfstoff-Verordnung bleiben unberührt. Über die durchgeführte Impfung und den verwendeten Impfstoff hat der Unternehmer unverzüglich Aufzeichnungen zu führen. Diese Aufzeichnungen sind, gerechnet vom Tag der Impfung, mindestens drei Jahre aufzubewahren. Die zuständige Behörde kann Ausnahmen von Satz 1</w:t>
      </w:r>
    </w:p>
    <w:p>
      <w:pPr>
        <w:ind w:left="420"/>
      </w:pPr>
      <w:r>
        <w:t xml:space="preserve">1. für Herden, die aus dem Inland verbracht werden, oder</w:t>
      </w:r>
    </w:p>
    <w:p>
      <w:pPr>
        <w:ind w:left="420"/>
      </w:pPr>
      <w:r>
        <w:t xml:space="preserve">2. zu wissenschaftlichen Zwecken</w:t>
      </w:r>
    </w:p>
    <w:p>
      <w:r>
        <w:t xml:space="preserve">genehmigen.</w:t>
      </w:r>
    </w:p>
    <w:p>
      <w:r>
        <w:t xml:space="preserve">(2) Im Falle der Feststellung von Salmonella Typhimurium in dem vorhergehenden Aufzuchtdurchgang hat der Unternehmer des Hühneraufzuchtbetriebes, soweit die Tiere nicht bereits gegen Salmonella Typhimurium geimpft worden sind, die Küken und Junghennen des betroffenen Betriebes oder der betroffenen Herde gegen Salmonella Typhimurium zu impfen oder impfen zu lassen.</w:t>
      </w:r>
    </w:p>
    <w:p>
      <w:r>
        <w:rPr>
          <w:color w:val="555555"/>
          <w:sz w:val="17"/>
        </w:rPr>
        <w:t xml:space="preserve">Zitiervorschlag: § 12 HüSalmoV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https://recht.nulegal.eu/gesetze/H%C3%BCSalmoV/12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