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HörgAkMstrV — Arbeitsprobe</w:t>
      </w:r>
    </w:p>
    <w:p>
      <w:r>
        <w:rPr>
          <w:color w:val="555555"/>
          <w:sz w:val="18"/>
        </w:rPr>
        <w:t xml:space="preserve">Hörgeräteakustikermeisterverordnung</w:t>
      </w:r>
    </w:p>
    <w:p>
      <w:r>
        <w:rPr>
          <w:color w:val="555555"/>
          <w:sz w:val="18"/>
        </w:rPr>
        <w:t xml:space="preserve">Historische Fassung: Stand 10.06.2019 bis 01.07.2022. Dies ist nicht die aktuelle Fassung.</w:t>
      </w:r>
    </w:p>
    <w:p>
      <w:r>
        <w:t xml:space="preserve">(1) Als Arbeitsprobe sind vier der nachstehend genannten Arbeiten, davon in jedem Fall die nach den Nummern 1 und 2, auszuführen:</w:t>
      </w:r>
    </w:p>
    <w:p>
      <w:pPr>
        <w:ind w:left="420"/>
      </w:pPr>
      <w:r>
        <w:t xml:space="preserve">1. Messen der Kenndaten eines Hörgerätes,</w:t>
      </w:r>
    </w:p>
    <w:p>
      <w:pPr>
        <w:ind w:left="420"/>
      </w:pPr>
      <w:r>
        <w:t xml:space="preserve">2. Instandsetzen eines Hörgerätes,</w:t>
      </w:r>
    </w:p>
    <w:p>
      <w:pPr>
        <w:ind w:left="420"/>
      </w:pPr>
      <w:r>
        <w:t xml:space="preserve">3. Einbauen eines Hörgerätes in eine individuell hergestellte Schale,</w:t>
      </w:r>
    </w:p>
    <w:p>
      <w:pPr>
        <w:ind w:left="420"/>
      </w:pPr>
      <w:r>
        <w:t xml:space="preserve">4. Endmontieren eines spezifizierten Hörgerätes aus Bauteilen,</w:t>
      </w:r>
    </w:p>
    <w:p>
      <w:pPr>
        <w:ind w:left="420"/>
      </w:pPr>
      <w:r>
        <w:t xml:space="preserve">5. Durchführen einer Messung des Übertragungsverhaltens einer Hörhilfe am Ohr,</w:t>
      </w:r>
    </w:p>
    <w:p>
      <w:pPr>
        <w:ind w:left="420"/>
      </w:pPr>
      <w:r>
        <w:t xml:space="preserve">6. Programmieren von Hörgeräten, insbesondere mit EDV,</w:t>
      </w:r>
    </w:p>
    <w:p>
      <w:pPr>
        <w:ind w:left="420"/>
      </w:pPr>
      <w:r>
        <w:t xml:space="preserve">7. berufsbezogene Prüfung der Werk- und Hilfsstoffe.</w:t>
      </w:r>
    </w:p>
    <w:p>
      <w:r>
        <w:t xml:space="preserve">(2) In der Arbeitsprobe sind die wichtigsten Fertigkeiten und Kenntnisse zu prüfen, die in der Meisterprüfungsarbeit nicht oder nur unzureichend nachgewiesen werden konnten.</w:t>
      </w:r>
    </w:p>
    <w:p>
      <w:r>
        <w:rPr>
          <w:color w:val="555555"/>
          <w:sz w:val="17"/>
        </w:rPr>
        <w:t xml:space="preserve">Zitiervorschlag: § 4 HörgAkMstrV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https://recht.nulegal.eu/gesetze/H%C3%B6rgAkMstrV/4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