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HörAkAusbV</w:t>
      </w:r>
    </w:p>
    <w:p>
      <w:r>
        <w:rPr>
          <w:color w:val="555555"/>
          <w:sz w:val="18"/>
        </w:rPr>
        <w:t xml:space="preserve">Hörakustikerausbildungsverordnung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Absatz 1 Satz 1 der Handwerksordnung, der zuletzt durch Artikel 283 der Verordnung vom 31. August 2015 (BGBl. I S. 1474) geändert worden ist, verordnet das Bundesministerium für Wirtschaft und Energie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HörAkAusbV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https://recht.nulegal.eu/gesetze/H%C3%B6rAkAusbV/eingangsformel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