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HörAkAusbV — Staatliche Anerkennung des Ausbildungsberufes</w:t>
      </w:r>
    </w:p>
    <w:p>
      <w:r>
        <w:rPr>
          <w:color w:val="555555"/>
          <w:sz w:val="18"/>
        </w:rPr>
        <w:t xml:space="preserve">Hörakustikerausbildungsverordnung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des Hörakustikers und der Hörakustikerin wird nach § 25 der Handwerksordnung zur Ausbildung für das Gewerbe nach Anlage A Nummer 34 Hörgeräteakustiker der Handwerksordnung staatlich anerkannt.</w:t>
      </w:r>
    </w:p>
    <w:p>
      <w:r>
        <w:rPr>
          <w:color w:val="555555"/>
          <w:sz w:val="17"/>
        </w:rPr>
        <w:t xml:space="preserve">Zitiervorschlag: § 1 HörAkAusbV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https://recht.nulegal.eu/gesetze/H%C3%B6rAkAusbV/1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