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HöfeVfO — Benachrichtigung</w:t>
      </w:r>
    </w:p>
    <w:p>
      <w:r>
        <w:rPr>
          <w:color w:val="555555"/>
          <w:sz w:val="18"/>
        </w:rPr>
        <w:t xml:space="preserve">Verfahrensordnung für Höfesachen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der Eintragung und Löschung eines Hofvermerks sowie von der Abtrennung eines einzelnen Grundstücks (§ 7 Abs. 3) benachrichtigt das Grundbuchamt den Eigentümer, das Gericht und die Genehmigungsbehörde nach dem Grundstücksverkehrsgesetz.</w:t>
      </w:r>
    </w:p>
    <w:p>
      <w:r>
        <w:rPr>
          <w:color w:val="555555"/>
          <w:sz w:val="17"/>
        </w:rPr>
        <w:t xml:space="preserve">Zitiervorschlag: § 9 HöfeVfO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https://recht.nulegal.eu/gesetze/H%C3%B6feVfO/9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