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HöfeVfO — Löschungsersuchen von Amts wegen</w:t>
      </w:r>
    </w:p>
    <w:p>
      <w:r>
        <w:rPr>
          <w:color w:val="555555"/>
          <w:sz w:val="18"/>
        </w:rPr>
        <w:t xml:space="preserve">Verfahrensordnung für Höfesachen</w:t>
      </w:r>
    </w:p>
    <w:p>
      <w:r>
        <w:rPr>
          <w:color w:val="555555"/>
          <w:sz w:val="18"/>
        </w:rPr>
        <w:t xml:space="preserve">Stand: 10.06.2019 (konsolidierte Textfassung, kein amtliches Inkrafttretensdatum)</w:t>
      </w:r>
    </w:p>
    <w:p>
      <w:r>
        <w:t xml:space="preserve">(1) Will das Landwirtschaftsgericht von Amts wegen um die Löschung eines Hofvermerks ersuchen, so hat es den Eigentümer von seiner Absicht sowie über die wesentlichen sich aus der Löschung ergebenden Folgen zu unterrichten und ihm anheimzugeben, innerhalb einer bestimmten Frist die Feststellung der Hofeigenschaft (§ 11 Abs. 1 Buchstabe a) zu beantragen. Die Frist darf nicht weniger als sechs Wochen betragen.</w:t>
      </w:r>
    </w:p>
    <w:p>
      <w:r>
        <w:t xml:space="preserve">(2) Das Ersuchen darf erst gestellt werden, wenn der Eigentümer einen Antrag auf Feststellung nicht gestellt oder zurückgenommen hat oder wenn rechtskräftig festgestellt worden ist, daß ein Hof im Sinne der höferechtlichen Vorschriften nicht vorliegt.</w:t>
      </w:r>
    </w:p>
    <w:p>
      <w:r>
        <w:rPr>
          <w:color w:val="555555"/>
          <w:sz w:val="17"/>
        </w:rPr>
        <w:t xml:space="preserve">Zitiervorschlag: § 8 HöfeVfO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https://recht.nulegal.eu/gesetze/H%C3%B6feVfO/8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