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HöfeVfO — Besonderes Grundbuchblatt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zum Hof gehörenden Grundstücke desselben Eigentümers sind auf Ersuchen des Landwirtschaftsgerichts auf einem besonderen Grundbuchblatt einzutragen; das Ersuchen ist von Amts wegen zu stellen.</w:t>
      </w:r>
    </w:p>
    <w:p>
      <w:r>
        <w:t xml:space="preserve">(2) Grundstücke, die nicht zum Hof gehören, sind nicht auf dem Grundbuchblatt des Hofes einzutragen.</w:t>
      </w:r>
    </w:p>
    <w:p>
      <w:r>
        <w:t xml:space="preserve">(3) Werden einzelne Grundstücke vom Hof abgetrennt, so ist der Hofvermerk nicht mit zu übertragen.</w:t>
      </w:r>
    </w:p>
    <w:p>
      <w:r>
        <w:rPr>
          <w:color w:val="555555"/>
          <w:sz w:val="17"/>
        </w:rPr>
        <w:t xml:space="preserve">Zitiervorschlag: § 7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