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HöfeVfO — Vermutung</w:t>
      </w:r>
    </w:p>
    <w:p>
      <w:r>
        <w:rPr>
          <w:color w:val="555555"/>
          <w:sz w:val="18"/>
        </w:rPr>
        <w:t xml:space="preserve">Verfahrensordnung für Höfesachen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Eintragung des Hofvermerks begründet die Vermutung, daß die Besitzung die durch den Vermerk ausgewiesene Eigenschaft hat.</w:t>
      </w:r>
    </w:p>
    <w:p>
      <w:r>
        <w:rPr>
          <w:color w:val="555555"/>
          <w:sz w:val="17"/>
        </w:rPr>
        <w:t xml:space="preserve">Zitiervorschlag: § 5 HöfeVfO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https://recht.nulegal.eu/gesetze/H%C3%B6feVfO/5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