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3a HöfeVfO</w:t>
      </w:r>
    </w:p>
    <w:p>
      <w:r>
        <w:rPr>
          <w:color w:val="555555"/>
          <w:sz w:val="18"/>
        </w:rPr>
        <w:t xml:space="preserve">Verfahrensordnung für Höfesachen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Das Finanzamt teilt dem Landwirtschaftsgericht den Grundsteuerwert für einen Betrieb der Land- und Forstwirtschaft mit, wenn dieser</w:t>
      </w:r>
    </w:p>
    <w:p>
      <w:pPr>
        <w:ind w:left="420"/>
      </w:pPr>
      <w:r>
        <w:t xml:space="preserve">1. sich von mindestens 27 000 Euro auf weniger als 27 000 Euro verringert hat,</w:t>
      </w:r>
    </w:p>
    <w:p>
      <w:pPr>
        <w:ind w:left="420"/>
      </w:pPr>
      <w:r>
        <w:t xml:space="preserve">2. sich von weniger als 54 000 Euro auf mindestens 54 000 Euro erhöht hat oder</w:t>
      </w:r>
    </w:p>
    <w:p>
      <w:pPr>
        <w:ind w:left="420"/>
      </w:pPr>
      <w:r>
        <w:t xml:space="preserve">3. erstmals ermittelt worden ist und mindestens 54 000 Euro beträgt.</w:t>
      </w:r>
    </w:p>
    <w:p>
      <w:r>
        <w:t xml:space="preserve">Die Mitteilungen erfolgen mindestens einmal jährlich.</w:t>
      </w:r>
    </w:p>
    <w:p>
      <w:r>
        <w:rPr>
          <w:color w:val="555555"/>
          <w:sz w:val="17"/>
        </w:rPr>
        <w:t xml:space="preserve">Zitiervorschlag: § 3a HöfeVfO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https://recht.nulegal.eu/gesetze/H%C3%B6feVfO/3a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