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HöfeVfO — Eintragungsgrundsatz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Besitzung, die nach den höferechtlichen Vorschriften Hof ist oder auf Grund einer Erklärung des Eigentümers Hof werden kann, wird auf Ersuchen des Landwirtschaftsgerichts im Grundbuch als Hof eingetragen.</w:t>
      </w:r>
    </w:p>
    <w:p>
      <w:r>
        <w:t xml:space="preserve">(2) Absatz 1 gilt für die Eintragung einer Besitzung als Ehegattenhof entsprechend.</w:t>
      </w:r>
    </w:p>
    <w:p>
      <w:r>
        <w:rPr>
          <w:color w:val="555555"/>
          <w:sz w:val="17"/>
        </w:rPr>
        <w:t xml:space="preserve">Zitiervorschlag: § 2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