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HöfeVfO — Zustimmungsverfahren</w:t>
      </w:r>
    </w:p>
    <w:p>
      <w:r>
        <w:rPr>
          <w:color w:val="555555"/>
          <w:sz w:val="18"/>
        </w:rPr>
        <w:t xml:space="preserve">Verfahrensordnung für Höfesachen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Antrag auf Zustimmung zu einer Verfügung von Todes wegen kann der Erblasser, zu einem Erbvertrag auch der andere Vertragsschließende stellen.</w:t>
      </w:r>
    </w:p>
    <w:p>
      <w:r>
        <w:t xml:space="preserve">(2) Hat ein Notar die Verfügung beurkundet, so gilt er als ermächtigt, im Namen eines Antragsberechtigten die Genehmigung zu beantragen.</w:t>
      </w:r>
    </w:p>
    <w:p>
      <w:r>
        <w:t xml:space="preserve">(3) Nach dem Tode des Erblassers kann den Antrag jeder stellen, der ein berechtigtes Interesse an der Entscheidung glaubhaft macht.</w:t>
      </w:r>
    </w:p>
    <w:p>
      <w:r>
        <w:rPr>
          <w:color w:val="555555"/>
          <w:sz w:val="17"/>
        </w:rPr>
        <w:t xml:space="preserve">Zitiervorschlag: § 13 HöfeVfO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https://recht.nulegal.eu/gesetze/H%C3%B6feVfO/13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