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HöfeVfO — Abänderung der Entscheidung</w:t>
      </w:r>
    </w:p>
    <w:p>
      <w:r>
        <w:rPr>
          <w:color w:val="555555"/>
          <w:sz w:val="18"/>
        </w:rPr>
        <w:t xml:space="preserve">Verfahrensordnung für Höfesachen</w:t>
      </w:r>
    </w:p>
    <w:p>
      <w:r>
        <w:rPr>
          <w:color w:val="555555"/>
          <w:sz w:val="18"/>
        </w:rPr>
        <w:t xml:space="preserve">Stand: 10.06.2019 (konsolidierte Textfassung, kein amtliches Inkrafttretensdatum)</w:t>
      </w:r>
    </w:p>
    <w:p>
      <w:r>
        <w:t xml:space="preserve">(1) Ist im Feststellungsverfahren rechtskräftig entschieden worden, so können diejenigen, die sich am Verfahren beteiligt haben oder von dem Verfahren benachrichtigt worden sind (§ 11 Abs. 2 und 3), einen neuen Antrag nicht auf Tatsachen gründen, die in dem früheren Verfahren geltend gemacht worden sind oder von ihnen dort hätten geltend gemacht werden können.</w:t>
      </w:r>
    </w:p>
    <w:p>
      <w:r>
        <w:t xml:space="preserve">(2) Im übrigen kann ein neuer Antrag nur gestellt werden, wenn ein berechtigter Grund für die nochmalige Nachprüfung vorliegt. In diesem Fall sind die an dem früheren Verfahren Beteiligten zuzuziehen und die in § 11 Abs. 2 genannten Personen zu benachrichtigen. Führt die Nachprüfung zu einer abweichenden Entscheidung, so ist in der ergehenden Entscheidung gleichzeitig der frühere Beschluß aufzuheben.</w:t>
      </w:r>
    </w:p>
    <w:p>
      <w:r>
        <w:t xml:space="preserve">(3) Nach Ablauf von fünf Jahren, vom Tag der Rechtskraft der Entscheidung an gerechnet, ist ein neuer Antrag auf Feststellung nur noch statthaft, wenn die bei der Entscheidung vorhanden gewesenen Voraussetzungen nachträglich weggefallen sind.</w:t>
      </w:r>
    </w:p>
    <w:p>
      <w:r>
        <w:rPr>
          <w:color w:val="555555"/>
          <w:sz w:val="17"/>
        </w:rPr>
        <w:t xml:space="preserve">Zitiervorschlag: § 12 HöfeVfO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https://recht.nulegal.eu/gesetze/H%C3%B6feVfO/12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