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HöfeVfO — Verhältnis zum allgemeinen Verfahrensrecht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in Höfesachen sind die Vorschriften des Gesetzes über das gerichtliche Verfahren in Landwirtschaftssachen vom 21. Juli 1953 (Bundesgesetzbl. I S. 667) anzuwenden, soweit dieses Gesetz nichts anderes bestimmt. Höfesachen sind Angelegenheiten, auf die die in den Ländern Hamburg, Niedersachsen, Nordrhein-Westfalen und Schleswig-Holstein geltenden höferechtlichen Vorschriften anzuwenden sind.</w:t>
      </w:r>
    </w:p>
    <w:p>
      <w:r>
        <w:t xml:space="preserve">(2) In den Fällen des § 13 der Höfeordnung ist das für den ursprünglichen Hof zuständige Landwirtschaftsgericht auch dann örtlich zuständig, wenn Ansprüche wegen der Veräußerung oder Verwertung eines Ersatzbetriebes oder von Ersatzgrundstücken geltend gemacht werden.</w:t>
      </w:r>
    </w:p>
    <w:p>
      <w:r>
        <w:rPr>
          <w:color w:val="555555"/>
          <w:sz w:val="17"/>
        </w:rPr>
        <w:t xml:space="preserve">Zitiervorschlag: § 1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