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HöfeO — Einzelheiten zur Hoferbenordnung</w:t>
      </w:r>
    </w:p>
    <w:p>
      <w:r>
        <w:rPr>
          <w:color w:val="555555"/>
          <w:sz w:val="18"/>
        </w:rPr>
        <w:t xml:space="preserve">Höfeordnung</w:t>
      </w:r>
    </w:p>
    <w:p>
      <w:r>
        <w:rPr>
          <w:color w:val="555555"/>
          <w:sz w:val="18"/>
        </w:rPr>
        <w:t xml:space="preserve">Stand: 10.06.2019 (konsolidierte Textfassung, kein amtliches Inkrafttretensdatum)</w:t>
      </w:r>
    </w:p>
    <w:p>
      <w:r>
        <w:t xml:space="preserve">(1) In der ersten Hoferbenordnung ist als Hoferbe berufen:</w:t>
      </w:r>
    </w:p>
    <w:p>
      <w:pPr>
        <w:ind w:left="420"/>
      </w:pPr>
      <w:r>
        <w:t xml:space="preserve">1. in erster Linie der Miterbe, dem vom Erblasser die Bewirtschaftung des Hofes im Zeitpunkt des Erbfalles auf Dauer übertragen ist, es sei denn, daß sich der Erblasser dabei ihm gegenüber die Bestimmung des Hoferben ausdrücklich vorbehalten hat;</w:t>
      </w:r>
    </w:p>
    <w:p>
      <w:pPr>
        <w:ind w:left="420"/>
      </w:pPr>
      <w:r>
        <w:t xml:space="preserve">2. in zweiter Linie der Miterbe, hinsichtlich dessen der Erblasser durch die Ausbildung oder durch Art und Umfang der Beschäftigung auf dem Hof hat erkennen lassen, daß er den Hof übernehmen soll;</w:t>
      </w:r>
    </w:p>
    <w:p>
      <w:pPr>
        <w:ind w:left="420"/>
      </w:pPr>
      <w:r>
        <w:t xml:space="preserve">3. in dritter Linie der älteste der Miterben oder, wenn in der Gegend Jüngstenrecht Brauch ist, der jüngste von ihnen.</w:t>
      </w:r>
    </w:p>
    <w:p>
      <w:r>
        <w:t xml:space="preserve">Liegen die Voraussetzungen der Nummer 2 bei mehreren Miterben vor, ohne daß erkennbar ist, wer von ihnen den Hof übernehmen sollte, so ist unter diesen Miterben der älteste oder, wenn Jüngstenrecht Brauch ist, der jüngste als Hoferbe berufen.</w:t>
      </w:r>
    </w:p>
    <w:p>
      <w:r>
        <w:t xml:space="preserve">(2) In der zweiten Hoferbenordnung scheidet der Ehegatte als Hoferbe aus,</w:t>
      </w:r>
    </w:p>
    <w:p>
      <w:pPr>
        <w:ind w:left="420"/>
      </w:pPr>
      <w:r>
        <w:t xml:space="preserve">1. wenn Verwandte der dritten und vierten Hoferbenordnung leben und ihr Ausschluß von der Hoferbfolge, insbesondere wegen der von ihnen für den Hof erbrachten Leistungen, grob unbillig wäre; oder</w:t>
      </w:r>
    </w:p>
    <w:p>
      <w:pPr>
        <w:ind w:left="420"/>
      </w:pPr>
      <w:r>
        <w:t xml:space="preserve">2. wenn sein Erbrecht nach § 1933 des Bürgerlichen Gesetzbuchs ausgeschlossen ist.</w:t>
      </w:r>
    </w:p>
    <w:p>
      <w:r>
        <w:t xml:space="preserve">(3) In der dritten Hoferbenordnung ist nur derjenige Elternteil hoferbenberechtigt, von dem oder aus dessen Familie der Hof stammt oder mit dessen Mitteln der Hof erworben worden ist.</w:t>
      </w:r>
    </w:p>
    <w:p>
      <w:r>
        <w:t xml:space="preserve">(4) Stammt der Hof von beiden Eltern oder aus beiden Familien oder ist er mit den Mitteln beider Eltern erworben und ist wenigstens einer der Eltern wirtschaftsfähig, so fällt der Hof den Eltern gemeinschaftlich als Ehegattenhof an. Lebt einer von ihnen nicht mehr, so fällt er dem anderen an. Ist die Ehe der Eltern vor dem Erbfall auf andere Weise als durch den Tod eines von ihnen aufgelöst worden, so scheiden sie als Hoferben aus.</w:t>
      </w:r>
    </w:p>
    <w:p>
      <w:r>
        <w:t xml:space="preserve">(5) In der vierten Hoferbenordnung gilt Absatz 1 entsprechend. Im Falle des Absatzes 1 Satz 1 Nr. 3 gehen die Geschwister vor, die mit dem Erblasser den Elternteil gemeinsam haben, von dem oder aus dessen Familie der Hof stammt.</w:t>
      </w:r>
    </w:p>
    <w:p>
      <w:r>
        <w:t xml:space="preserve">(6) Wer nicht wirtschaftsfähig ist, scheidet als Hoferbe aus, auch wenn er hierzu nach Absatz 1 Satz 1 Nr. 1 oder 2 berufen ist. Dies gilt jedoch nicht, wenn allein mangelnde Altersreife der Grund der Wirtschaftsunfähigkeit ist oder wenn es sich um die Vererbung an den überlebenden Ehegatten handelt. Scheidet der zunächst berufene Hoferbe aus, so fällt der Hof demjenigen an, der berufen wäre, wenn der Ausscheidende zur Zeit des Erbfalls nicht gelebt hätte.</w:t>
      </w:r>
    </w:p>
    <w:p>
      <w:r>
        <w:t xml:space="preserve">(7) Wirtschaftsfähig ist, wer nach seinen körperlichen und geistigen Fähigkeiten, nach seinen Kenntnissen und seiner Persönlichkeit in der Lage ist, den von ihm zu übernehmenden Hof selbständig ordnungsmäßig zu bewirtschaften.</w:t>
      </w:r>
    </w:p>
    <w:p>
      <w:r>
        <w:rPr>
          <w:color w:val="555555"/>
          <w:sz w:val="17"/>
        </w:rPr>
        <w:t xml:space="preserve">Zitiervorschlag: § 6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