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HöfeO — Bestandteile</w:t>
      </w:r>
    </w:p>
    <w:p>
      <w:r>
        <w:rPr>
          <w:color w:val="555555"/>
          <w:sz w:val="18"/>
        </w:rPr>
        <w:t xml:space="preserve">Höfeordnung</w:t>
      </w:r>
    </w:p>
    <w:p>
      <w:r>
        <w:rPr>
          <w:color w:val="555555"/>
          <w:sz w:val="18"/>
        </w:rPr>
        <w:t xml:space="preserve">Stand: 10.06.2019 (konsolidierte Textfassung, kein amtliches Inkrafttretensdatum)</w:t>
      </w:r>
    </w:p>
    <w:p>
      <w:r>
        <w:t xml:space="preserve">Zum Hof gehören:</w:t>
      </w:r>
    </w:p>
    <w:p>
      <w:pPr>
        <w:ind w:left="420"/>
      </w:pPr>
      <w:r>
        <w:t xml:space="preserve">a) alle Grundstücke des Hofeigentümers, die regelmäßig von der Hofstelle aus bewirtschaftet werden; eine zeitweilige Verpachtung oder ähnliche vorübergehende Benutzung durch andere schließt die Zugehörigkeit zum Hof nicht aus, ebensowenig die vorläufige Besitzeinweisung eines anderen in einem Flurbereinigungsverfahren oder einem ähnlichen Verfahren;</w:t>
      </w:r>
    </w:p>
    <w:p>
      <w:pPr>
        <w:ind w:left="420"/>
      </w:pPr>
      <w:r>
        <w:t xml:space="preserve">b) Mitgliedschaftsrechte, Nutzungsrechte und ähnliche Rechte, die dem Hof dienen, gleichviel ob sie mit dem Eigentum am Hof verbunden sind oder dem Eigentümer persönlich zustehen, ferner dem Hof dienende Miteigentumsanteile an einem Grundstück, falls diese Anteile im Verhältnis zu dem sonstigen, den Hof bildenden Grundbesitz von untergeordneter Bedeutung sind.</w:t>
      </w:r>
    </w:p>
    <w:p>
      <w:r>
        <w:rPr>
          <w:color w:val="555555"/>
          <w:sz w:val="17"/>
        </w:rPr>
        <w:t xml:space="preserve">Zitiervorschlag: § 2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