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16 HöfeO — Verfügung von Todes wegen</w:t>
      </w:r>
    </w:p>
    <w:p>
      <w:r>
        <w:rPr>
          <w:color w:val="555555"/>
          <w:sz w:val="18"/>
        </w:rPr>
        <w:t xml:space="preserve">Höfeordnung</w:t>
      </w:r>
    </w:p>
    <w:p>
      <w:r>
        <w:rPr>
          <w:color w:val="555555"/>
          <w:sz w:val="18"/>
        </w:rPr>
        <w:t xml:space="preserve">Stand: 10.06.2019 (konsolidierte Textfassung, kein amtliches Inkrafttretensdatum)</w:t>
      </w:r>
    </w:p>
    <w:p>
      <w:r>
        <w:t xml:space="preserve">(1) Der Eigentümer kann die Erbfolge kraft Höferechts (§ 4) durch Verfügung von Todes wegen nicht ausschließen. Er kann sie jedoch beschränken; soweit nach den Vorschriften des Grundstücksverkehrsgesetzes vom 28. Juli 1961 (Bundesgesetzbl. I S. 1091), geändert durch Artikel 199 des Gesetzes vom 2. März 1974 (Bundesgesetzbl. I S. 469), für ein Rechtsgeschäft unter Lebenden gleichen Inhalts eine Genehmigung erforderlich wäre, ist die Zustimmung des Gerichts zu der Verfügung von Todes wegen erforderlich.</w:t>
      </w:r>
    </w:p>
    <w:p>
      <w:r>
        <w:t xml:space="preserve">(2) Für die Berechnung des Pflichtteils des Hoferben ist der nach dem allgemeinen Recht, für die Berechnung des Pflichtteils der übrigen Erben der nach diesem Gesetz zu ermittelnde gesetzliche Erbteil maßgebend. Dabei ist der Hof in jedem Falle nach dem in § 12 Abs. 2 bestimmten Wert anzusetzen.</w:t>
      </w:r>
    </w:p>
    <w:p>
      <w:r>
        <w:rPr>
          <w:color w:val="555555"/>
          <w:sz w:val="17"/>
        </w:rPr>
        <w:t xml:space="preserve">Zitiervorschlag: § 16 HöfeO</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https://recht.nulegal.eu/gesetze/H%C3%B6feO/16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