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HöfeO — Ausschlagung</w:t>
      </w:r>
    </w:p>
    <w:p>
      <w:r>
        <w:rPr>
          <w:color w:val="555555"/>
          <w:sz w:val="18"/>
        </w:rPr>
        <w:t xml:space="preserve">Höfeordnung</w:t>
      </w:r>
    </w:p>
    <w:p>
      <w:r>
        <w:rPr>
          <w:color w:val="555555"/>
          <w:sz w:val="18"/>
        </w:rPr>
        <w:t xml:space="preserve">Stand: 10.06.2019 (konsolidierte Textfassung, kein amtliches Inkrafttretensdatum)</w:t>
      </w:r>
    </w:p>
    <w:p>
      <w:r>
        <w:t xml:space="preserve">Der Hoferbe kann den Anfall des Hofes durch Erklärung gegenüber dem Gericht ausschlagen, ohne die Erbschaft in das übrige Vermögen auszuschlagen. Auf diese Ausschlagung finden die Vorschriften des Bürgerlichen Gesetzbuchs über die Ausschlagung der Erbschaft entsprechende Anwendung.</w:t>
      </w:r>
    </w:p>
    <w:p>
      <w:r>
        <w:rPr>
          <w:color w:val="555555"/>
          <w:sz w:val="17"/>
        </w:rPr>
        <w:t xml:space="preserve">Zitiervorschlag: § 11 HöfeO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https://recht.nulegal.eu/gesetze/H%C3%B6feO/11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