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HärtefallausglVO (Sachsen)</w:t>
      </w:r>
    </w:p>
    <w:p>
      <w:r>
        <w:rPr>
          <w:color w:val="555555"/>
          <w:sz w:val="18"/>
        </w:rPr>
        <w:t xml:space="preserve">Härtefallausgleichsverordnung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Aufgrund von § 38 Abs. 6 Satz 4 des Sächsischen Gesetzes über Naturschutz und Landschaftspflege (Sächsisches Naturschutzgesetz – SächsNatSchG ) in der Fassung der Bekanntmachung vom 11. Oktober 1994 (SächsGVBl. S. 1601, ber. 1995 S. 106) wird im Einvernehmen mit dem Staatsministerium der Finanzen und dem Staatsministerium für Landwirtschaft, Ernährung und Forsten verordnet:</w:t>
      </w:r>
    </w:p>
    <w:p>
      <w:r>
        <w:rPr>
          <w:color w:val="555555"/>
          <w:sz w:val="17"/>
        </w:rPr>
        <w:t xml:space="preserve">Zitiervorschlag: Eingangsformel HärtefallausglVO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https://recht.nulegal.eu/gesetze/H%C3%A4rtefallausglVO/eingangsformel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