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GwGMeldV</w:t>
      </w:r>
    </w:p>
    <w:p>
      <w:r>
        <w:rPr>
          <w:color w:val="555555"/>
          <w:sz w:val="18"/>
        </w:rPr>
        <w:t xml:space="preserve">GwG-Meldeverordnung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Das Bundesministerium der Finanzen verordnet aufgrund des § 45 Absatz 5 Satz 1 des Geldwäschegesetzes vom 23. Juni 2017 (BGBl. I S. 1822), das zuletzt durch Artikel 8 des Gesetzes vom 27. Dezember 2024 (BGBl. 2024 I Nr. 438) geändert worden ist:</w:t>
      </w:r>
    </w:p>
    <w:p>
      <w:r>
        <w:rPr>
          <w:color w:val="555555"/>
          <w:sz w:val="17"/>
        </w:rPr>
        <w:t xml:space="preserve">Zitiervorschlag: Eingangsformel GwGMeldV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https://recht.nulegal.eu/gesetze/GwGMeldV/eingangsformel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