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GwGMeldV — Form elektronischer Meldungen</w:t>
      </w:r>
    </w:p>
    <w:p>
      <w:r>
        <w:rPr>
          <w:color w:val="555555"/>
          <w:sz w:val="18"/>
        </w:rPr>
        <w:t xml:space="preserve">GwG-Meldeverordnung</w:t>
      </w:r>
    </w:p>
    <w:p>
      <w:r>
        <w:rPr>
          <w:color w:val="555555"/>
          <w:sz w:val="18"/>
        </w:rPr>
        <w:t xml:space="preserve">Stand: 14.03.2026 (konsolidierte Textfassung, kein amtliches Inkrafttretensdatum)</w:t>
      </w:r>
    </w:p>
    <w:p>
      <w:r>
        <w:t xml:space="preserve">(1) Zur elektronischen Meldung nach § 43 Absatz 1 Satz 1 und § 44 des Geldwäschegesetzes ist das von der Zentralstelle für Finanztransaktionsuntersuchungen vorgesehene elektronische Datenverarbeitungsverfahren zu nutzen. Dies gilt auch, wenn Verpflichtete oder Aufsichtsbehörden (Meldende) von sich aus oder auf Anforderung der Zentralstelle für Finanztransaktionsuntersuchungen nachträglich eine Meldung um erforderliche Angaben nach § 3 ergänzen oder nachträglich die Formanforderungen nach Absatz 2 und 3 erfüllen.</w:t>
      </w:r>
    </w:p>
    <w:p>
      <w:r>
        <w:t xml:space="preserve">(2) Die Angaben sind im strukturierten maschinenlesbaren Dateiformat XML einzureichen oder in die in dem Datenverarbeitungsverfahren jeweils dafür vorgesehenen Felder einzutragen.</w:t>
      </w:r>
    </w:p>
    <w:p>
      <w:r>
        <w:t xml:space="preserve">(3) Anlagen sollen der Meldung in einem von der Zentralstelle für Finanztransaktionsuntersuchungen vorgesehenen, automatisiert auswertbaren und elektronisch durchsuchbaren Format beigefügt werden.</w:t>
      </w:r>
    </w:p>
    <w:p>
      <w:r>
        <w:t xml:space="preserve">(4) Ist die elektronische Meldung aus technischen Gründen vorübergehend nicht möglich, so können die alternativen Übermittlungswege genutzt werden, über die die Zentralstelle für Finanztransaktionsuntersuchungen auf ihrer Internetseite informiert. § 45 Absatz 2 des Geldwäschegesetzes bleibt unberührt.</w:t>
      </w:r>
    </w:p>
    <w:p>
      <w:r>
        <w:rPr>
          <w:color w:val="555555"/>
          <w:sz w:val="17"/>
        </w:rPr>
        <w:t xml:space="preserve">Zitiervorschlag: § 2 GwGMeldV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https://recht.nulegal.eu/gesetze/GwGMeldV/2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